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A0F2E"/>
  <w:body>
    <w:tbl>
      <w:tblPr>
        <w:tblW w:w="10466" w:type="dxa"/>
        <w:tblBorders>
          <w:top w:val="none" w:sz="0" w:space="0" w:color="FFFFFF"/>
          <w:left w:val="none" w:sz="0" w:space="0" w:color="FFFFFF"/>
          <w:bottom w:val="single" w:sz="18" w:space="0" w:color="00B4D8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266"/>
      </w:tblGrid>
      <w:tr w:rsidR="003A2081" w14:paraId="110A5624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0F2E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14:paraId="6CE7C289" w14:textId="77777777" w:rsidR="003A2081" w:rsidRDefault="0062386E">
            <w:r>
              <w:rPr>
                <w:noProof/>
              </w:rPr>
              <w:drawing>
                <wp:inline distT="0" distB="0" distL="0" distR="0" wp14:anchorId="53272032" wp14:editId="09FCF8B2">
                  <wp:extent cx="1663677" cy="895350"/>
                  <wp:effectExtent l="0" t="0" r="0" b="0"/>
                  <wp:docPr id="1" name="E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677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0F2E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121F0187" w14:textId="7CFDC056" w:rsidR="003A2081" w:rsidRDefault="0062386E">
            <w:pPr>
              <w:spacing w:after="40"/>
              <w:jc w:val="right"/>
            </w:pPr>
            <w:r>
              <w:rPr>
                <w:b/>
                <w:bCs/>
                <w:color w:val="8AFFD6"/>
                <w:spacing w:val="60"/>
                <w:sz w:val="16"/>
                <w:szCs w:val="16"/>
              </w:rPr>
              <w:t xml:space="preserve">MEDIA PACK  ·  </w:t>
            </w:r>
            <w:r w:rsidR="00BA6BAA">
              <w:rPr>
                <w:b/>
                <w:bCs/>
                <w:color w:val="8AFFD6"/>
                <w:spacing w:val="60"/>
                <w:sz w:val="16"/>
                <w:szCs w:val="16"/>
              </w:rPr>
              <w:t>MAY</w:t>
            </w:r>
            <w:r>
              <w:rPr>
                <w:b/>
                <w:bCs/>
                <w:color w:val="8AFFD6"/>
                <w:spacing w:val="60"/>
                <w:sz w:val="16"/>
                <w:szCs w:val="16"/>
              </w:rPr>
              <w:t xml:space="preserve"> 2026</w:t>
            </w:r>
          </w:p>
          <w:p w14:paraId="4A8A3FFB" w14:textId="77777777" w:rsidR="003A2081" w:rsidRDefault="0062386E">
            <w:pPr>
              <w:spacing w:after="20"/>
              <w:jc w:val="right"/>
            </w:pPr>
            <w:proofErr w:type="spellStart"/>
            <w:r>
              <w:rPr>
                <w:b/>
                <w:bCs/>
                <w:sz w:val="52"/>
                <w:szCs w:val="52"/>
              </w:rPr>
              <w:t>ELEC</w:t>
            </w:r>
            <w:r>
              <w:rPr>
                <w:b/>
                <w:bCs/>
                <w:color w:val="00B4D8"/>
                <w:sz w:val="52"/>
                <w:szCs w:val="52"/>
              </w:rPr>
              <w:t>Truck</w:t>
            </w:r>
            <w:proofErr w:type="spellEnd"/>
          </w:p>
          <w:p w14:paraId="34C552E8" w14:textId="77777777" w:rsidR="003A2081" w:rsidRDefault="0062386E">
            <w:pPr>
              <w:jc w:val="right"/>
            </w:pPr>
            <w:r>
              <w:rPr>
                <w:i/>
                <w:iCs/>
                <w:color w:val="8AFFD6"/>
                <w:sz w:val="18"/>
                <w:szCs w:val="18"/>
              </w:rPr>
              <w:t>Powering Australia's Trucks with Australian Energy</w:t>
            </w:r>
          </w:p>
        </w:tc>
      </w:tr>
    </w:tbl>
    <w:p w14:paraId="54975DF9" w14:textId="77777777" w:rsidR="003A2081" w:rsidRDefault="003A2081">
      <w:pPr>
        <w:spacing w:after="6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single" w:sz="6" w:space="0" w:color="1A2A5E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3A2081" w14:paraId="7ABB4B8A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54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DFCEA74" w14:textId="19AD2888" w:rsidR="003A2081" w:rsidRPr="00BA6BAA" w:rsidRDefault="0062386E">
            <w:pPr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color w:val="C0D4F0"/>
                <w:sz w:val="18"/>
                <w:szCs w:val="18"/>
              </w:rPr>
              <w:t xml:space="preserve">Published by the </w:t>
            </w:r>
            <w:r w:rsidRPr="00BA6BAA">
              <w:rPr>
                <w:rFonts w:asciiTheme="majorHAnsi" w:hAnsiTheme="majorHAnsi"/>
                <w:b/>
                <w:bCs/>
                <w:color w:val="00B4D8"/>
                <w:sz w:val="18"/>
                <w:szCs w:val="18"/>
              </w:rPr>
              <w:t>Electric Vehicle Council</w:t>
            </w:r>
            <w:r w:rsidRPr="00BA6BAA">
              <w:rPr>
                <w:rFonts w:asciiTheme="majorHAnsi" w:hAnsiTheme="majorHAnsi"/>
                <w:color w:val="C0D4F0"/>
                <w:sz w:val="18"/>
                <w:szCs w:val="18"/>
              </w:rPr>
              <w:t xml:space="preserve">, </w:t>
            </w:r>
            <w:r w:rsidR="00F669F0">
              <w:rPr>
                <w:rFonts w:asciiTheme="majorHAnsi" w:hAnsiTheme="majorHAnsi"/>
                <w:color w:val="C0D4F0"/>
                <w:sz w:val="18"/>
                <w:szCs w:val="18"/>
              </w:rPr>
              <w:t>May</w:t>
            </w:r>
            <w:r w:rsidRPr="00BA6BAA">
              <w:rPr>
                <w:rFonts w:asciiTheme="majorHAnsi" w:hAnsiTheme="majorHAnsi"/>
                <w:color w:val="C0D4F0"/>
                <w:sz w:val="18"/>
                <w:szCs w:val="18"/>
              </w:rPr>
              <w:t xml:space="preserve"> 2026. Case studies feature Daimler Truck Australia, IKEA Australia, ANC Delivers, </w:t>
            </w:r>
            <w:proofErr w:type="spellStart"/>
            <w:r w:rsidRPr="00BA6BAA">
              <w:rPr>
                <w:rFonts w:asciiTheme="majorHAnsi" w:hAnsiTheme="majorHAnsi"/>
                <w:color w:val="C0D4F0"/>
                <w:sz w:val="18"/>
                <w:szCs w:val="18"/>
              </w:rPr>
              <w:t>Kempower</w:t>
            </w:r>
            <w:proofErr w:type="spellEnd"/>
            <w:r w:rsidRPr="00BA6BAA">
              <w:rPr>
                <w:rFonts w:asciiTheme="majorHAnsi" w:hAnsiTheme="majorHAnsi"/>
                <w:color w:val="C0D4F0"/>
                <w:sz w:val="18"/>
                <w:szCs w:val="18"/>
              </w:rPr>
              <w:t>/JET Charge and Volvo Trucks Australia. International evidence drawn from the UTS-led RACE for 2030 International EV Policy Scan (May 2026).</w:t>
            </w:r>
          </w:p>
        </w:tc>
      </w:tr>
    </w:tbl>
    <w:p w14:paraId="7E4DE072" w14:textId="77777777" w:rsidR="003A2081" w:rsidRDefault="0062386E">
      <w:pPr>
        <w:spacing w:before="140" w:after="60"/>
      </w:pPr>
      <w:r>
        <w:rPr>
          <w:b/>
          <w:bCs/>
          <w:color w:val="8AFFD6"/>
          <w:spacing w:val="80"/>
          <w:sz w:val="16"/>
          <w:szCs w:val="16"/>
        </w:rPr>
        <w:t>KEY STATISTICS — AT A GLANCE</w:t>
      </w: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2616"/>
        <w:gridCol w:w="2616"/>
        <w:gridCol w:w="2618"/>
      </w:tblGrid>
      <w:tr w:rsidR="003A2081" w:rsidRPr="00BA6BAA" w14:paraId="4407789E" w14:textId="77777777">
        <w:tc>
          <w:tcPr>
            <w:tcW w:w="2616" w:type="dxa"/>
            <w:tcBorders>
              <w:top w:val="single" w:sz="18" w:space="0" w:color="00B4D8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CA8643D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00B4D8"/>
                <w:sz w:val="36"/>
                <w:szCs w:val="36"/>
              </w:rPr>
              <w:t>$2.10/L</w:t>
            </w:r>
          </w:p>
          <w:p w14:paraId="331A1E26" w14:textId="77777777" w:rsidR="003A2081" w:rsidRPr="00BA6BAA" w:rsidRDefault="0062386E">
            <w:pPr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Current diesel price, down from over $3/L in April</w:t>
            </w:r>
          </w:p>
        </w:tc>
        <w:tc>
          <w:tcPr>
            <w:tcW w:w="2616" w:type="dxa"/>
            <w:tcBorders>
              <w:top w:val="single" w:sz="18" w:space="0" w:color="00B4D8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C03752B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00B4D8"/>
                <w:sz w:val="36"/>
                <w:szCs w:val="36"/>
              </w:rPr>
              <w:t>$2.55B</w:t>
            </w:r>
          </w:p>
          <w:p w14:paraId="7BB2B288" w14:textId="77777777" w:rsidR="003A2081" w:rsidRPr="00BA6BAA" w:rsidRDefault="0062386E">
            <w:pPr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Cost of a three-month cut to the fuel excise/road user charge</w:t>
            </w:r>
          </w:p>
        </w:tc>
        <w:tc>
          <w:tcPr>
            <w:tcW w:w="2616" w:type="dxa"/>
            <w:tcBorders>
              <w:top w:val="single" w:sz="18" w:space="0" w:color="00B4D8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1178094A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00B4D8"/>
                <w:sz w:val="36"/>
                <w:szCs w:val="36"/>
              </w:rPr>
              <w:t>$4B/yr</w:t>
            </w:r>
          </w:p>
          <w:p w14:paraId="4509155A" w14:textId="77777777" w:rsidR="003A2081" w:rsidRPr="00BA6BAA" w:rsidRDefault="0062386E">
            <w:pPr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Productivity Commission estimate of foregone GDP due to outdated mass limits</w:t>
            </w:r>
          </w:p>
        </w:tc>
        <w:tc>
          <w:tcPr>
            <w:tcW w:w="2618" w:type="dxa"/>
            <w:tcBorders>
              <w:top w:val="single" w:sz="18" w:space="0" w:color="00B4D8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88503C0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00B4D8"/>
                <w:sz w:val="36"/>
                <w:szCs w:val="36"/>
              </w:rPr>
              <w:t>$100–150</w:t>
            </w:r>
          </w:p>
          <w:p w14:paraId="71ED9F5C" w14:textId="77777777" w:rsidR="003A2081" w:rsidRPr="00BA6BAA" w:rsidRDefault="0062386E">
            <w:pPr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Per truck, per day — estimated productivity loss from noise restrictions (ANC case study)</w:t>
            </w:r>
          </w:p>
        </w:tc>
      </w:tr>
    </w:tbl>
    <w:p w14:paraId="6DAB2A53" w14:textId="77777777" w:rsidR="003A2081" w:rsidRDefault="003A2081">
      <w:pPr>
        <w:spacing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2616"/>
        <w:gridCol w:w="2616"/>
        <w:gridCol w:w="2618"/>
      </w:tblGrid>
      <w:tr w:rsidR="003A2081" w:rsidRPr="00BA6BAA" w14:paraId="00CF1D6A" w14:textId="77777777">
        <w:tc>
          <w:tcPr>
            <w:tcW w:w="2616" w:type="dxa"/>
            <w:tcBorders>
              <w:top w:val="single" w:sz="18" w:space="0" w:color="8AFFD6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5A83A5B1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8AFFD6"/>
                <w:sz w:val="36"/>
                <w:szCs w:val="36"/>
              </w:rPr>
              <w:t>15–25%</w:t>
            </w:r>
          </w:p>
          <w:p w14:paraId="077854BD" w14:textId="77777777" w:rsidR="003A2081" w:rsidRPr="00BA6BAA" w:rsidRDefault="0062386E">
            <w:pPr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Estimated productivity uplift from curfew reform (ANC case study)</w:t>
            </w:r>
          </w:p>
        </w:tc>
        <w:tc>
          <w:tcPr>
            <w:tcW w:w="2616" w:type="dxa"/>
            <w:tcBorders>
              <w:top w:val="single" w:sz="18" w:space="0" w:color="8AFFD6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2E579D8B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8AFFD6"/>
                <w:sz w:val="36"/>
                <w:szCs w:val="36"/>
              </w:rPr>
              <w:t>45,000 L</w:t>
            </w:r>
          </w:p>
          <w:p w14:paraId="7243B0E3" w14:textId="77777777" w:rsidR="003A2081" w:rsidRPr="00BA6BAA" w:rsidRDefault="0062386E">
            <w:pPr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Diesel consumed per articulated truck, on average</w:t>
            </w:r>
          </w:p>
        </w:tc>
        <w:tc>
          <w:tcPr>
            <w:tcW w:w="2616" w:type="dxa"/>
            <w:tcBorders>
              <w:top w:val="single" w:sz="18" w:space="0" w:color="8AFFD6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29E5FB0A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8AFFD6"/>
                <w:sz w:val="36"/>
                <w:szCs w:val="36"/>
              </w:rPr>
              <w:t>630</w:t>
            </w:r>
          </w:p>
          <w:p w14:paraId="76DC6ACC" w14:textId="13CE0672" w:rsidR="003A2081" w:rsidRPr="00BA6BAA" w:rsidRDefault="00F669F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Approx. number of e</w:t>
            </w:r>
            <w:r w:rsidR="0062386E"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lectric trucks sold in Australia (Truck Industry Council)</w:t>
            </w:r>
          </w:p>
        </w:tc>
        <w:tc>
          <w:tcPr>
            <w:tcW w:w="2618" w:type="dxa"/>
            <w:tcBorders>
              <w:top w:val="single" w:sz="18" w:space="0" w:color="8AFFD6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0FA0ED9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8AFFD6"/>
                <w:sz w:val="36"/>
                <w:szCs w:val="36"/>
              </w:rPr>
              <w:t>340</w:t>
            </w:r>
          </w:p>
          <w:p w14:paraId="14183C54" w14:textId="3C4D41C2" w:rsidR="003A2081" w:rsidRPr="00BA6BAA" w:rsidRDefault="00F669F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Approx. number of e</w:t>
            </w:r>
            <w:r w:rsidR="0062386E"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lectric vans sold in Australia (Truck Industry Council)</w:t>
            </w:r>
          </w:p>
        </w:tc>
      </w:tr>
    </w:tbl>
    <w:p w14:paraId="24A821A5" w14:textId="77777777" w:rsidR="003A2081" w:rsidRDefault="003A2081">
      <w:pPr>
        <w:spacing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2616"/>
        <w:gridCol w:w="2616"/>
        <w:gridCol w:w="2618"/>
      </w:tblGrid>
      <w:tr w:rsidR="003A2081" w:rsidRPr="00BA6BAA" w14:paraId="0F50204D" w14:textId="77777777">
        <w:tc>
          <w:tcPr>
            <w:tcW w:w="2616" w:type="dxa"/>
            <w:tcBorders>
              <w:top w:val="single" w:sz="18" w:space="0" w:color="3A4FC4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11F86A1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7B8EF7"/>
                <w:sz w:val="36"/>
                <w:szCs w:val="36"/>
              </w:rPr>
              <w:t>0.7%</w:t>
            </w:r>
          </w:p>
          <w:p w14:paraId="117CA75B" w14:textId="7B54F8EA" w:rsidR="003A2081" w:rsidRPr="00BA6BAA" w:rsidRDefault="00AF5E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 xml:space="preserve">EV </w:t>
            </w:r>
            <w:r w:rsidR="003E185B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share of heavy vehicle sales in Australia, 2025</w:t>
            </w:r>
            <w:r w:rsidR="0062386E"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 xml:space="preserve"> (Truck Industry Council)</w:t>
            </w:r>
          </w:p>
        </w:tc>
        <w:tc>
          <w:tcPr>
            <w:tcW w:w="2616" w:type="dxa"/>
            <w:tcBorders>
              <w:top w:val="single" w:sz="18" w:space="0" w:color="3A4FC4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762D11DE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7B8EF7"/>
                <w:sz w:val="36"/>
                <w:szCs w:val="36"/>
              </w:rPr>
              <w:t>53.9%</w:t>
            </w:r>
          </w:p>
          <w:p w14:paraId="47F03DDC" w14:textId="43552ACB" w:rsidR="000F3564" w:rsidRDefault="003E185B">
            <w:pPr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</w:pPr>
            <w:r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NEV</w:t>
            </w:r>
            <w:r w:rsidR="000F3564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*</w:t>
            </w:r>
            <w:r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 xml:space="preserve"> </w:t>
            </w:r>
            <w:r w:rsidR="0062386E"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 xml:space="preserve">share of heavy </w:t>
            </w:r>
            <w:r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 xml:space="preserve">vehicles sales in China, Dec 2025 </w:t>
            </w:r>
          </w:p>
          <w:p w14:paraId="3A135A40" w14:textId="22F8F17E" w:rsidR="003A2081" w:rsidRPr="00965CD6" w:rsidRDefault="000F3564">
            <w:pPr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</w:pPr>
            <w:r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*</w:t>
            </w:r>
            <w:r w:rsidR="00965CD6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New Energy Vehicles</w:t>
            </w:r>
          </w:p>
        </w:tc>
        <w:tc>
          <w:tcPr>
            <w:tcW w:w="2616" w:type="dxa"/>
            <w:tcBorders>
              <w:top w:val="single" w:sz="18" w:space="0" w:color="3A4FC4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137A129C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7B8EF7"/>
                <w:sz w:val="36"/>
                <w:szCs w:val="36"/>
              </w:rPr>
              <w:t>4 years</w:t>
            </w:r>
          </w:p>
          <w:p w14:paraId="4D28977B" w14:textId="77777777" w:rsidR="003A2081" w:rsidRPr="00BA6BAA" w:rsidRDefault="0062386E">
            <w:pPr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Time to access government incentives for electric trucks in Australia</w:t>
            </w:r>
          </w:p>
        </w:tc>
        <w:tc>
          <w:tcPr>
            <w:tcW w:w="2618" w:type="dxa"/>
            <w:tcBorders>
              <w:top w:val="single" w:sz="18" w:space="0" w:color="3A4FC4"/>
              <w:left w:val="single" w:sz="4" w:space="0" w:color="1A2A5E"/>
              <w:bottom w:val="single" w:sz="4" w:space="0" w:color="1A2A5E"/>
              <w:right w:val="single" w:sz="4" w:space="0" w:color="1A2A5E"/>
            </w:tcBorders>
            <w:shd w:val="clear" w:color="auto" w:fill="0D154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294814FD" w14:textId="77777777" w:rsidR="003A2081" w:rsidRPr="00BA6BAA" w:rsidRDefault="0062386E">
            <w:pPr>
              <w:spacing w:after="60"/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b/>
                <w:bCs/>
                <w:color w:val="7B8EF7"/>
                <w:sz w:val="36"/>
                <w:szCs w:val="36"/>
              </w:rPr>
              <w:t>4 mins</w:t>
            </w:r>
          </w:p>
          <w:p w14:paraId="4D59F671" w14:textId="77777777" w:rsidR="003A2081" w:rsidRPr="00BA6BAA" w:rsidRDefault="0062386E">
            <w:pPr>
              <w:rPr>
                <w:rFonts w:asciiTheme="majorHAnsi" w:hAnsiTheme="majorHAnsi"/>
              </w:rPr>
            </w:pPr>
            <w:r w:rsidRPr="00BA6BAA">
              <w:rPr>
                <w:rFonts w:asciiTheme="majorHAnsi" w:hAnsiTheme="majorHAnsi"/>
                <w:i/>
                <w:iCs/>
                <w:color w:val="A0B8D8"/>
                <w:sz w:val="15"/>
                <w:szCs w:val="15"/>
              </w:rPr>
              <w:t>Time to access government incentives for electric trucks in New Zealand</w:t>
            </w:r>
          </w:p>
        </w:tc>
      </w:tr>
    </w:tbl>
    <w:p w14:paraId="0FF3D5E2" w14:textId="77777777" w:rsidR="003A2081" w:rsidRDefault="003A2081">
      <w:pPr>
        <w:spacing w:after="8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3A2081" w:rsidRPr="00BA6BAA" w14:paraId="479FC25E" w14:textId="77777777">
        <w:tc>
          <w:tcPr>
            <w:tcW w:w="10466" w:type="dxa"/>
            <w:tcBorders>
              <w:top w:val="none" w:sz="0" w:space="0" w:color="FFFFFF"/>
              <w:left w:val="single" w:sz="24" w:space="0" w:color="8AFFD6"/>
              <w:bottom w:val="none" w:sz="0" w:space="0" w:color="FFFFFF"/>
              <w:right w:val="none" w:sz="0" w:space="0" w:color="FFFFFF"/>
            </w:tcBorders>
            <w:shd w:val="clear" w:color="auto" w:fill="080D24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18610384" w14:textId="77777777" w:rsidR="003A2081" w:rsidRPr="00BA6BAA" w:rsidRDefault="0062386E">
            <w:pPr>
              <w:spacing w:after="60"/>
              <w:rPr>
                <w:rFonts w:asciiTheme="minorHAnsi" w:hAnsiTheme="minorHAnsi"/>
              </w:rPr>
            </w:pPr>
            <w:r w:rsidRPr="00BA6BAA">
              <w:rPr>
                <w:rFonts w:asciiTheme="minorHAnsi" w:hAnsiTheme="minorHAnsi"/>
                <w:b/>
                <w:bCs/>
                <w:color w:val="8AFFD6"/>
                <w:spacing w:val="80"/>
                <w:sz w:val="16"/>
                <w:szCs w:val="16"/>
              </w:rPr>
              <w:t>ABOUT THE REPORT</w:t>
            </w:r>
          </w:p>
          <w:p w14:paraId="5CD08C35" w14:textId="477B656D" w:rsidR="003A2081" w:rsidRPr="00BA6BAA" w:rsidRDefault="0062386E">
            <w:pPr>
              <w:rPr>
                <w:rFonts w:asciiTheme="minorHAnsi" w:hAnsiTheme="minorHAnsi"/>
              </w:rPr>
            </w:pPr>
            <w:proofErr w:type="spellStart"/>
            <w:r w:rsidRPr="00BA6BA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ELECTruck</w:t>
            </w:r>
            <w:proofErr w:type="spellEnd"/>
            <w:r w:rsidRPr="00BA6BA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: Powering Australia's Trucks with Australian Energy</w:t>
            </w:r>
            <w:r w:rsidRPr="00BA6BAA">
              <w:rPr>
                <w:rFonts w:asciiTheme="minorHAnsi" w:hAnsiTheme="minorHAnsi"/>
                <w:color w:val="C0D4F0"/>
                <w:sz w:val="18"/>
                <w:szCs w:val="18"/>
              </w:rPr>
              <w:t xml:space="preserve"> is published by the Electric Vehicle Council, </w:t>
            </w:r>
            <w:r w:rsidR="00F669F0">
              <w:rPr>
                <w:rFonts w:asciiTheme="minorHAnsi" w:hAnsiTheme="minorHAnsi"/>
                <w:color w:val="C0D4F0"/>
                <w:sz w:val="18"/>
                <w:szCs w:val="18"/>
              </w:rPr>
              <w:t>May</w:t>
            </w:r>
            <w:r w:rsidRPr="00BA6BAA">
              <w:rPr>
                <w:rFonts w:asciiTheme="minorHAnsi" w:hAnsiTheme="minorHAnsi"/>
                <w:color w:val="C0D4F0"/>
                <w:sz w:val="18"/>
                <w:szCs w:val="18"/>
              </w:rPr>
              <w:t xml:space="preserve"> 2026. The report features case studies from Daimler Truck Australia, IKEA Australia, ANC Delivers, </w:t>
            </w:r>
            <w:proofErr w:type="spellStart"/>
            <w:r w:rsidRPr="00BA6BAA">
              <w:rPr>
                <w:rFonts w:asciiTheme="minorHAnsi" w:hAnsiTheme="minorHAnsi"/>
                <w:color w:val="C0D4F0"/>
                <w:sz w:val="18"/>
                <w:szCs w:val="18"/>
              </w:rPr>
              <w:t>Kempower</w:t>
            </w:r>
            <w:proofErr w:type="spellEnd"/>
            <w:r w:rsidRPr="00BA6BAA">
              <w:rPr>
                <w:rFonts w:asciiTheme="minorHAnsi" w:hAnsiTheme="minorHAnsi"/>
                <w:color w:val="C0D4F0"/>
                <w:sz w:val="18"/>
                <w:szCs w:val="18"/>
              </w:rPr>
              <w:t xml:space="preserve">/JET Charge and Volvo Trucks Australia, and Transurban/Linfox. International evidence is drawn from the UTS-led RACE for 2030 International EV Policy Scan (May 2026). The full report is available at </w:t>
            </w:r>
            <w:hyperlink r:id="rId9" w:history="1">
              <w:r w:rsidRPr="00BA6BAA">
                <w:rPr>
                  <w:rStyle w:val="Hyperlink"/>
                  <w:rFonts w:asciiTheme="minorHAnsi" w:hAnsiTheme="minorHAnsi"/>
                  <w:color w:val="00B4D8"/>
                  <w:sz w:val="18"/>
                  <w:szCs w:val="18"/>
                </w:rPr>
                <w:t>https://share-ap1.hsforms.com/1blA3wHr1QBS0laNLWsTVEQdgdkv</w:t>
              </w:r>
            </w:hyperlink>
          </w:p>
        </w:tc>
      </w:tr>
    </w:tbl>
    <w:p w14:paraId="56F06651" w14:textId="77777777" w:rsidR="003A2081" w:rsidRDefault="003A2081">
      <w:pPr>
        <w:spacing w:after="80"/>
      </w:pPr>
    </w:p>
    <w:tbl>
      <w:tblPr>
        <w:tblW w:w="10466" w:type="dxa"/>
        <w:tblBorders>
          <w:top w:val="single" w:sz="8" w:space="0" w:color="1A2A5E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2"/>
        <w:gridCol w:w="3664"/>
      </w:tblGrid>
      <w:tr w:rsidR="003A2081" w14:paraId="71989B9A" w14:textId="77777777">
        <w:tc>
          <w:tcPr>
            <w:tcW w:w="68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60B1D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5F9206EB" w14:textId="77777777" w:rsidR="003A2081" w:rsidRPr="00BA6BAA" w:rsidRDefault="0062386E">
            <w:pPr>
              <w:rPr>
                <w:rFonts w:asciiTheme="minorHAnsi" w:hAnsiTheme="minorHAnsi"/>
              </w:rPr>
            </w:pPr>
            <w:r w:rsidRPr="00BA6BAA">
              <w:rPr>
                <w:rFonts w:asciiTheme="minorHAnsi" w:hAnsiTheme="minorHAnsi"/>
                <w:b/>
                <w:bCs/>
                <w:color w:val="8AFFD6"/>
                <w:sz w:val="16"/>
                <w:szCs w:val="16"/>
              </w:rPr>
              <w:t>Media contact: Todd Hayward  |  0412 205 151  |  media@evc.org.au</w:t>
            </w:r>
          </w:p>
        </w:tc>
        <w:tc>
          <w:tcPr>
            <w:tcW w:w="36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60B1D"/>
            <w:tcMar>
              <w:top w:w="80" w:type="dxa"/>
              <w:left w:w="80" w:type="dxa"/>
              <w:bottom w:w="80" w:type="dxa"/>
              <w:right w:w="100" w:type="dxa"/>
            </w:tcMar>
            <w:vAlign w:val="center"/>
          </w:tcPr>
          <w:p w14:paraId="002048E1" w14:textId="7752BAF2" w:rsidR="003A2081" w:rsidRDefault="0062386E">
            <w:pPr>
              <w:jc w:val="right"/>
            </w:pPr>
            <w:r>
              <w:rPr>
                <w:color w:val="4A6080"/>
                <w:sz w:val="14"/>
                <w:szCs w:val="14"/>
              </w:rPr>
              <w:t xml:space="preserve">Electric Vehicle Council  ·  </w:t>
            </w:r>
            <w:r w:rsidR="00F669F0">
              <w:rPr>
                <w:color w:val="4A6080"/>
                <w:sz w:val="14"/>
                <w:szCs w:val="14"/>
              </w:rPr>
              <w:t>May</w:t>
            </w:r>
            <w:r>
              <w:rPr>
                <w:color w:val="4A6080"/>
                <w:sz w:val="14"/>
                <w:szCs w:val="14"/>
              </w:rPr>
              <w:t xml:space="preserve"> 2026</w:t>
            </w:r>
          </w:p>
        </w:tc>
      </w:tr>
    </w:tbl>
    <w:p w14:paraId="0696682C" w14:textId="77777777" w:rsidR="0062386E" w:rsidRDefault="0062386E"/>
    <w:sectPr w:rsidR="0062386E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A414E"/>
    <w:multiLevelType w:val="hybridMultilevel"/>
    <w:tmpl w:val="20D284E0"/>
    <w:lvl w:ilvl="0" w:tplc="057224C4">
      <w:start w:val="1"/>
      <w:numFmt w:val="bullet"/>
      <w:lvlText w:val="●"/>
      <w:lvlJc w:val="left"/>
      <w:pPr>
        <w:ind w:left="720" w:hanging="360"/>
      </w:pPr>
    </w:lvl>
    <w:lvl w:ilvl="1" w:tplc="D5B040F2">
      <w:start w:val="1"/>
      <w:numFmt w:val="bullet"/>
      <w:lvlText w:val="○"/>
      <w:lvlJc w:val="left"/>
      <w:pPr>
        <w:ind w:left="1440" w:hanging="360"/>
      </w:pPr>
    </w:lvl>
    <w:lvl w:ilvl="2" w:tplc="CFEE8CB4">
      <w:start w:val="1"/>
      <w:numFmt w:val="bullet"/>
      <w:lvlText w:val="■"/>
      <w:lvlJc w:val="left"/>
      <w:pPr>
        <w:ind w:left="2160" w:hanging="360"/>
      </w:pPr>
    </w:lvl>
    <w:lvl w:ilvl="3" w:tplc="55F87CF6">
      <w:start w:val="1"/>
      <w:numFmt w:val="bullet"/>
      <w:lvlText w:val="●"/>
      <w:lvlJc w:val="left"/>
      <w:pPr>
        <w:ind w:left="2880" w:hanging="360"/>
      </w:pPr>
    </w:lvl>
    <w:lvl w:ilvl="4" w:tplc="4DE239AA">
      <w:start w:val="1"/>
      <w:numFmt w:val="bullet"/>
      <w:lvlText w:val="○"/>
      <w:lvlJc w:val="left"/>
      <w:pPr>
        <w:ind w:left="3600" w:hanging="360"/>
      </w:pPr>
    </w:lvl>
    <w:lvl w:ilvl="5" w:tplc="89421AE4">
      <w:start w:val="1"/>
      <w:numFmt w:val="bullet"/>
      <w:lvlText w:val="■"/>
      <w:lvlJc w:val="left"/>
      <w:pPr>
        <w:ind w:left="4320" w:hanging="360"/>
      </w:pPr>
    </w:lvl>
    <w:lvl w:ilvl="6" w:tplc="015A474A">
      <w:start w:val="1"/>
      <w:numFmt w:val="bullet"/>
      <w:lvlText w:val="●"/>
      <w:lvlJc w:val="left"/>
      <w:pPr>
        <w:ind w:left="5040" w:hanging="360"/>
      </w:pPr>
    </w:lvl>
    <w:lvl w:ilvl="7" w:tplc="64B87E22">
      <w:start w:val="1"/>
      <w:numFmt w:val="bullet"/>
      <w:lvlText w:val="●"/>
      <w:lvlJc w:val="left"/>
      <w:pPr>
        <w:ind w:left="5760" w:hanging="360"/>
      </w:pPr>
    </w:lvl>
    <w:lvl w:ilvl="8" w:tplc="60D2C424">
      <w:start w:val="1"/>
      <w:numFmt w:val="bullet"/>
      <w:lvlText w:val="●"/>
      <w:lvlJc w:val="left"/>
      <w:pPr>
        <w:ind w:left="6480" w:hanging="360"/>
      </w:pPr>
    </w:lvl>
  </w:abstractNum>
  <w:num w:numId="1" w16cid:durableId="20534606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81"/>
    <w:rsid w:val="00021480"/>
    <w:rsid w:val="000F3564"/>
    <w:rsid w:val="003A2081"/>
    <w:rsid w:val="003E185B"/>
    <w:rsid w:val="0062386E"/>
    <w:rsid w:val="00965CD6"/>
    <w:rsid w:val="00AF5E4A"/>
    <w:rsid w:val="00BA6BAA"/>
    <w:rsid w:val="00C75494"/>
    <w:rsid w:val="00D35F6C"/>
    <w:rsid w:val="00EE52EA"/>
    <w:rsid w:val="00F6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0F57"/>
  <w15:docId w15:val="{F604192B-892B-4E92-BC5B-FB0BBBED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FFFFFF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are-ap1.hsforms.com/1blA3wHr1QBS0laNLWsTVEQdgdk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D91045E98B34793E4B8F0FB59828F" ma:contentTypeVersion="19" ma:contentTypeDescription="Create a new document." ma:contentTypeScope="" ma:versionID="f56027e1cecd6289d23917ae569b440f">
  <xsd:schema xmlns:xsd="http://www.w3.org/2001/XMLSchema" xmlns:xs="http://www.w3.org/2001/XMLSchema" xmlns:p="http://schemas.microsoft.com/office/2006/metadata/properties" xmlns:ns2="b1f3c0d4-5ac3-4939-acc5-c9d86ea663cd" xmlns:ns3="25768565-a457-4542-8964-4eec916e0c64" targetNamespace="http://schemas.microsoft.com/office/2006/metadata/properties" ma:root="true" ma:fieldsID="586f83c667e3eef15d63d974a0c639c3" ns2:_="" ns3:_="">
    <xsd:import namespace="b1f3c0d4-5ac3-4939-acc5-c9d86ea663cd"/>
    <xsd:import namespace="25768565-a457-4542-8964-4eec916e0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3c0d4-5ac3-4939-acc5-c9d86ea66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22b65b-d6f7-4b81-909e-ab953fb2c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8565-a457-4542-8964-4eec916e0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be401e-c1a3-49bd-85b0-6356aaf2ee81}" ma:internalName="TaxCatchAll" ma:showField="CatchAllData" ma:web="25768565-a457-4542-8964-4eec916e0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f3c0d4-5ac3-4939-acc5-c9d86ea663cd">
      <Terms xmlns="http://schemas.microsoft.com/office/infopath/2007/PartnerControls"/>
    </lcf76f155ced4ddcb4097134ff3c332f>
    <date xmlns="b1f3c0d4-5ac3-4939-acc5-c9d86ea663cd" xsi:nil="true"/>
    <TaxCatchAll xmlns="25768565-a457-4542-8964-4eec916e0c64" xsi:nil="true"/>
  </documentManagement>
</p:properties>
</file>

<file path=customXml/itemProps1.xml><?xml version="1.0" encoding="utf-8"?>
<ds:datastoreItem xmlns:ds="http://schemas.openxmlformats.org/officeDocument/2006/customXml" ds:itemID="{CB62DD08-551C-47A3-96FC-3BB464F5B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3c0d4-5ac3-4939-acc5-c9d86ea663cd"/>
    <ds:schemaRef ds:uri="25768565-a457-4542-8964-4eec916e0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7BE34-D27A-49EE-9815-9717CC51A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CB594-FA74-4B9A-A0E4-903DEE865E94}">
  <ds:schemaRefs>
    <ds:schemaRef ds:uri="http://schemas.microsoft.com/office/2006/metadata/properties"/>
    <ds:schemaRef ds:uri="http://schemas.microsoft.com/office/infopath/2007/PartnerControls"/>
    <ds:schemaRef ds:uri="b1f3c0d4-5ac3-4939-acc5-c9d86ea663cd"/>
    <ds:schemaRef ds:uri="25768565-a457-4542-8964-4eec916e0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Todd Hayward</cp:lastModifiedBy>
  <cp:revision>2</cp:revision>
  <dcterms:created xsi:type="dcterms:W3CDTF">2026-06-01T00:58:00Z</dcterms:created>
  <dcterms:modified xsi:type="dcterms:W3CDTF">2026-06-01T00:58:00Z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0x010100F98D91045E98B34793E4B8F0FB59828F</vt:lpwstr>
  </property>
  <property fmtid="{D5CDD505-2E9C-101B-9397-08002B2CF9AE}" pid="3" name="MediaServiceImageTags">
    <vt:lpwstr/>
  </property>
</Properties>
</file>